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F1" w:rsidRDefault="002C29F1" w:rsidP="002C29F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2C29F1" w:rsidRDefault="002C29F1" w:rsidP="002C29F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2C29F1" w:rsidRDefault="002C29F1" w:rsidP="002C29F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КИРЕНСКИЙ РАЙОН</w:t>
      </w:r>
    </w:p>
    <w:p w:rsidR="002C29F1" w:rsidRDefault="002C29F1" w:rsidP="002C29F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  АЛЫМОВСКОГО</w:t>
      </w:r>
    </w:p>
    <w:p w:rsidR="002C29F1" w:rsidRDefault="002C29F1" w:rsidP="002C29F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C29F1" w:rsidRDefault="002C29F1" w:rsidP="002C29F1">
      <w:pPr>
        <w:shd w:val="clear" w:color="auto" w:fill="FFFFFF"/>
        <w:autoSpaceDE w:val="0"/>
        <w:jc w:val="center"/>
      </w:pPr>
      <w:r>
        <w:rPr>
          <w:color w:val="000000"/>
          <w:sz w:val="28"/>
          <w:szCs w:val="28"/>
        </w:rPr>
        <w:t>ПОСТАНОВЛЕНИЕ № 62-а</w:t>
      </w:r>
    </w:p>
    <w:p w:rsidR="002C29F1" w:rsidRDefault="002C29F1" w:rsidP="002C29F1">
      <w:pPr>
        <w:shd w:val="clear" w:color="auto" w:fill="FFFFFF"/>
        <w:autoSpaceDE w:val="0"/>
      </w:pPr>
    </w:p>
    <w:p w:rsidR="002C29F1" w:rsidRDefault="002C29F1" w:rsidP="002C29F1">
      <w:pPr>
        <w:shd w:val="clear" w:color="auto" w:fill="FFFFFF"/>
        <w:autoSpaceDE w:val="0"/>
      </w:pPr>
      <w:r>
        <w:rPr>
          <w:color w:val="000000"/>
          <w:sz w:val="28"/>
          <w:szCs w:val="28"/>
        </w:rPr>
        <w:t xml:space="preserve">6 сентября 2013 г.                     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>с. Алымовка</w:t>
      </w:r>
    </w:p>
    <w:p w:rsidR="002C29F1" w:rsidRDefault="002C29F1" w:rsidP="002C29F1">
      <w:pPr>
        <w:shd w:val="clear" w:color="auto" w:fill="FFFFFF"/>
        <w:autoSpaceDE w:val="0"/>
      </w:pPr>
    </w:p>
    <w:p w:rsidR="002C29F1" w:rsidRDefault="002C29F1" w:rsidP="002C29F1">
      <w:pPr>
        <w:jc w:val="center"/>
      </w:pPr>
      <w:r>
        <w:rPr>
          <w:rStyle w:val="a3"/>
          <w:rFonts w:ascii="Arial" w:hAnsi="Arial" w:cs="Arial"/>
          <w:i/>
          <w:color w:val="000000"/>
        </w:rPr>
        <w:t>«Об</w:t>
      </w:r>
      <w:r>
        <w:rPr>
          <w:rStyle w:val="a3"/>
          <w:rFonts w:ascii="Arial" w:eastAsia="Arial" w:hAnsi="Arial" w:cs="Arial"/>
          <w:i/>
          <w:color w:val="000000"/>
        </w:rPr>
        <w:t xml:space="preserve"> </w:t>
      </w:r>
      <w:r>
        <w:rPr>
          <w:rStyle w:val="a3"/>
          <w:rFonts w:ascii="Arial" w:hAnsi="Arial" w:cs="Arial"/>
          <w:i/>
          <w:color w:val="000000"/>
        </w:rPr>
        <w:t>утверждении</w:t>
      </w:r>
      <w:r>
        <w:rPr>
          <w:rStyle w:val="a3"/>
          <w:rFonts w:ascii="Arial" w:eastAsia="Arial" w:hAnsi="Arial" w:cs="Arial"/>
          <w:i/>
          <w:color w:val="000000"/>
        </w:rPr>
        <w:t xml:space="preserve"> Показателей  эффективности  деятельности  работников МКУ КДЦ «Вдохновение»</w:t>
      </w:r>
      <w:r>
        <w:rPr>
          <w:i/>
          <w:color w:val="000000"/>
        </w:rPr>
        <w:tab/>
      </w:r>
    </w:p>
    <w:p w:rsidR="002C29F1" w:rsidRDefault="002C29F1" w:rsidP="002C29F1">
      <w:pPr>
        <w:pStyle w:val="a4"/>
        <w:shd w:val="clear" w:color="auto" w:fill="FFFFFF"/>
        <w:jc w:val="center"/>
      </w:pPr>
    </w:p>
    <w:p w:rsidR="002C29F1" w:rsidRDefault="002C29F1" w:rsidP="002C29F1">
      <w:pPr>
        <w:pStyle w:val="a4"/>
        <w:ind w:firstLine="720"/>
        <w:jc w:val="both"/>
      </w:pPr>
      <w:r>
        <w:rPr>
          <w:rFonts w:ascii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 соответствии  с федеральным  законом РФ от 06.10.2003 г. № 131-ФЗ «Об о</w:t>
      </w:r>
      <w:r>
        <w:rPr>
          <w:rFonts w:ascii="Arial" w:hAnsi="Arial" w:cs="Arial"/>
          <w:sz w:val="22"/>
          <w:szCs w:val="22"/>
        </w:rPr>
        <w:t>бщих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принципах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организации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местного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самоуправления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Российской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Федерации",</w:t>
      </w:r>
      <w:r>
        <w:rPr>
          <w:rFonts w:ascii="Arial" w:eastAsia="Arial" w:hAnsi="Arial" w:cs="Arial"/>
          <w:sz w:val="22"/>
          <w:szCs w:val="22"/>
        </w:rPr>
        <w:t xml:space="preserve">  методическими  рекомендациями, утвержденными Приказом министерства культуры </w:t>
      </w:r>
      <w:r>
        <w:rPr>
          <w:rFonts w:ascii="Arial" w:eastAsia="Arial" w:hAnsi="Arial" w:cs="Arial"/>
          <w:sz w:val="22"/>
          <w:szCs w:val="22"/>
        </w:rPr>
        <w:br/>
        <w:t xml:space="preserve">Российской Федерации от 28.06.2013 г. № 920,  в целях  </w:t>
      </w:r>
      <w:r>
        <w:rPr>
          <w:rFonts w:ascii="Tahoma" w:eastAsia="Arial" w:hAnsi="Tahoma" w:cs="Tahoma"/>
          <w:color w:val="000000"/>
          <w:sz w:val="22"/>
          <w:szCs w:val="22"/>
        </w:rPr>
        <w:t>определения стимулирующих выплат и премирования работников МКУ КДЦ «Вдохновение» за выполненную работу основных категорий работников,</w:t>
      </w:r>
    </w:p>
    <w:p w:rsidR="002C29F1" w:rsidRDefault="002C29F1" w:rsidP="002C29F1">
      <w:pPr>
        <w:pStyle w:val="a4"/>
        <w:ind w:firstLine="720"/>
        <w:jc w:val="both"/>
      </w:pPr>
    </w:p>
    <w:p w:rsidR="002C29F1" w:rsidRDefault="002C29F1" w:rsidP="002C29F1">
      <w:pPr>
        <w:pStyle w:val="a4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6"/>
          <w:szCs w:val="26"/>
        </w:rPr>
        <w:t>постановляю:</w:t>
      </w:r>
    </w:p>
    <w:p w:rsidR="002C29F1" w:rsidRDefault="002C29F1" w:rsidP="002C29F1">
      <w:pPr>
        <w:numPr>
          <w:ilvl w:val="2"/>
          <w:numId w:val="2"/>
        </w:numPr>
        <w:autoSpaceDE w:val="0"/>
        <w:jc w:val="both"/>
        <w:rPr>
          <w:rFonts w:ascii="Arial" w:eastAsia="Arial" w:hAnsi="Arial" w:cs="Arial"/>
          <w:sz w:val="22"/>
          <w:szCs w:val="22"/>
        </w:rPr>
      </w:pPr>
      <w:bookmarkStart w:id="0" w:name="sub_11512111"/>
      <w:r>
        <w:rPr>
          <w:rFonts w:ascii="Arial" w:hAnsi="Arial" w:cs="Arial"/>
          <w:sz w:val="22"/>
          <w:szCs w:val="22"/>
        </w:rPr>
        <w:t>Утвердить</w:t>
      </w:r>
      <w:r>
        <w:rPr>
          <w:rFonts w:ascii="Arial" w:eastAsia="Arial" w:hAnsi="Arial" w:cs="Arial"/>
          <w:sz w:val="22"/>
          <w:szCs w:val="22"/>
        </w:rPr>
        <w:t xml:space="preserve"> Показатели эффективности </w:t>
      </w:r>
      <w:proofErr w:type="spellStart"/>
      <w:r>
        <w:rPr>
          <w:rFonts w:ascii="Arial" w:eastAsia="Arial" w:hAnsi="Arial" w:cs="Arial"/>
          <w:sz w:val="22"/>
          <w:szCs w:val="22"/>
        </w:rPr>
        <w:t>деятельнности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работников МКУ КДЦ «Вдохновение» (приложение № 1)</w:t>
      </w:r>
      <w:r>
        <w:rPr>
          <w:rFonts w:ascii="Arial" w:hAnsi="Arial" w:cs="Arial"/>
          <w:sz w:val="22"/>
          <w:szCs w:val="22"/>
        </w:rPr>
        <w:t>.</w:t>
      </w:r>
      <w:bookmarkEnd w:id="0"/>
    </w:p>
    <w:p w:rsidR="002C29F1" w:rsidRDefault="002C29F1" w:rsidP="002C29F1">
      <w:pPr>
        <w:numPr>
          <w:ilvl w:val="2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Администрации Алымовского  сельского  поселения в целях эффективной организации деятельности  муниципальных казенных учреждений культуры,  финансируемых из бюджета Алымовского  муниципального образования, довести Показатели эффективности  деятельности работников МКУ КДЦ «Вдохновение», указанные в п.1 настоящего постановления до руководителя муниципального казенного учреждения культуры,  финансируемого из бюджета Алымовского  муниципального  образования.</w:t>
      </w:r>
    </w:p>
    <w:p w:rsidR="002C29F1" w:rsidRDefault="002C29F1" w:rsidP="002C29F1">
      <w:pPr>
        <w:numPr>
          <w:ilvl w:val="2"/>
          <w:numId w:val="2"/>
        </w:num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Руководителю муниципального казённого учреждения культуры, финансируемого из бюджета Алымовского  муниципального  образования внести соответствующие   изменения в Положение об оплате труда работников муниципального казенного учреждения культуры,  финансируемого из бюджета Алымовского  муниципального  образования</w:t>
      </w:r>
      <w:bookmarkStart w:id="1" w:name="sub_21412111"/>
      <w:r>
        <w:rPr>
          <w:rFonts w:ascii="Arial" w:hAnsi="Arial" w:cs="Arial"/>
          <w:sz w:val="22"/>
          <w:szCs w:val="22"/>
        </w:rPr>
        <w:t>.</w:t>
      </w:r>
    </w:p>
    <w:bookmarkEnd w:id="1"/>
    <w:p w:rsidR="002C29F1" w:rsidRDefault="002C29F1" w:rsidP="002C29F1">
      <w:pPr>
        <w:numPr>
          <w:ilvl w:val="2"/>
          <w:numId w:val="2"/>
        </w:numPr>
        <w:autoSpaceDE w:val="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Контроль за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исполнением настоящего постановления оставляю за собой.</w:t>
      </w:r>
    </w:p>
    <w:p w:rsidR="002C29F1" w:rsidRDefault="002C29F1" w:rsidP="002C29F1">
      <w:pPr>
        <w:numPr>
          <w:ilvl w:val="2"/>
          <w:numId w:val="2"/>
        </w:num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Настоящее  постановление  вступает в силу  с  момента  его  подписания</w:t>
      </w:r>
      <w:r>
        <w:rPr>
          <w:rFonts w:ascii="Arial" w:hAnsi="Arial" w:cs="Arial"/>
          <w:sz w:val="22"/>
          <w:szCs w:val="22"/>
        </w:rPr>
        <w:t>.</w:t>
      </w:r>
    </w:p>
    <w:p w:rsidR="002C29F1" w:rsidRDefault="002C29F1" w:rsidP="002C29F1">
      <w:pPr>
        <w:pStyle w:val="a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2C29F1" w:rsidRDefault="002C29F1" w:rsidP="002C29F1">
      <w:pPr>
        <w:shd w:val="clear" w:color="auto" w:fill="FFFFFF"/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29F1" w:rsidRDefault="002C29F1" w:rsidP="002C29F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2C29F1" w:rsidRDefault="002C29F1" w:rsidP="002C29F1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Алымовского </w:t>
      </w:r>
    </w:p>
    <w:p w:rsidR="002C29F1" w:rsidRDefault="002C29F1" w:rsidP="002C29F1">
      <w:pPr>
        <w:shd w:val="clear" w:color="auto" w:fill="FFFFFF"/>
        <w:autoSpaceDE w:val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муниципального  образования                                               </w:t>
      </w:r>
      <w:r>
        <w:rPr>
          <w:i/>
          <w:iCs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Федоров В. И.</w:t>
      </w:r>
    </w:p>
    <w:p w:rsidR="002C29F1" w:rsidRDefault="002C29F1" w:rsidP="002C29F1">
      <w:pPr>
        <w:shd w:val="clear" w:color="auto" w:fill="FFFFFF"/>
        <w:autoSpaceDE w:val="0"/>
        <w:rPr>
          <w:color w:val="000000"/>
          <w:sz w:val="18"/>
          <w:szCs w:val="18"/>
        </w:rPr>
      </w:pPr>
    </w:p>
    <w:p w:rsidR="002C29F1" w:rsidRDefault="002C29F1" w:rsidP="002C29F1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2C29F1" w:rsidRDefault="002C29F1" w:rsidP="002C29F1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2C29F1" w:rsidRDefault="002C29F1" w:rsidP="002C29F1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2C29F1" w:rsidRDefault="002C29F1" w:rsidP="002C29F1">
      <w:pPr>
        <w:shd w:val="clear" w:color="auto" w:fill="FFFFFF"/>
        <w:autoSpaceDE w:val="0"/>
        <w:rPr>
          <w:b/>
          <w:bCs/>
          <w:i/>
          <w:color w:val="000000"/>
          <w:sz w:val="18"/>
          <w:szCs w:val="18"/>
        </w:rPr>
      </w:pPr>
    </w:p>
    <w:p w:rsidR="002C29F1" w:rsidRDefault="002C29F1" w:rsidP="002C29F1">
      <w:pPr>
        <w:shd w:val="clear" w:color="auto" w:fill="FFFFFF"/>
        <w:autoSpaceDE w:val="0"/>
        <w:rPr>
          <w:b/>
          <w:bCs/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Подготовил:</w:t>
      </w:r>
    </w:p>
    <w:p w:rsidR="002C29F1" w:rsidRDefault="002C29F1" w:rsidP="002C29F1">
      <w:pPr>
        <w:shd w:val="clear" w:color="auto" w:fill="FFFFFF"/>
        <w:autoSpaceDE w:val="0"/>
        <w:rPr>
          <w:b/>
          <w:bCs/>
          <w:i/>
          <w:color w:val="000000"/>
          <w:sz w:val="16"/>
          <w:szCs w:val="16"/>
        </w:rPr>
      </w:pPr>
      <w:r>
        <w:rPr>
          <w:b/>
          <w:bCs/>
          <w:i/>
          <w:color w:val="000000"/>
          <w:sz w:val="18"/>
          <w:szCs w:val="18"/>
        </w:rPr>
        <w:t>Специалист администрации</w:t>
      </w:r>
    </w:p>
    <w:p w:rsidR="002C29F1" w:rsidRDefault="002C29F1" w:rsidP="002C29F1">
      <w:pPr>
        <w:shd w:val="clear" w:color="auto" w:fill="FFFFFF"/>
        <w:autoSpaceDE w:val="0"/>
      </w:pPr>
      <w:r>
        <w:rPr>
          <w:b/>
          <w:bCs/>
          <w:i/>
          <w:color w:val="000000"/>
          <w:sz w:val="16"/>
          <w:szCs w:val="16"/>
        </w:rPr>
        <w:t>Зуева  И. В.  телефон (факс) 395 68 37 1 36</w:t>
      </w:r>
    </w:p>
    <w:p w:rsidR="002C29F1" w:rsidRDefault="002C29F1" w:rsidP="002C29F1">
      <w:pPr>
        <w:pStyle w:val="a4"/>
      </w:pPr>
    </w:p>
    <w:p w:rsidR="002C29F1" w:rsidRDefault="002C29F1" w:rsidP="002C29F1">
      <w:pPr>
        <w:rPr>
          <w:sz w:val="22"/>
          <w:szCs w:val="22"/>
        </w:rPr>
      </w:pPr>
    </w:p>
    <w:p w:rsidR="002C29F1" w:rsidRDefault="002C29F1" w:rsidP="002C29F1">
      <w:pPr>
        <w:rPr>
          <w:sz w:val="22"/>
          <w:szCs w:val="22"/>
        </w:rPr>
      </w:pPr>
    </w:p>
    <w:p w:rsidR="002C29F1" w:rsidRDefault="002C29F1" w:rsidP="002C29F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2C29F1" w:rsidRDefault="002C29F1" w:rsidP="002C29F1">
      <w:pPr>
        <w:rPr>
          <w:sz w:val="22"/>
          <w:szCs w:val="22"/>
        </w:rPr>
      </w:pPr>
      <w:r>
        <w:rPr>
          <w:sz w:val="22"/>
          <w:szCs w:val="22"/>
        </w:rPr>
        <w:t>Утверждено  постановлением</w:t>
      </w:r>
    </w:p>
    <w:p w:rsidR="002C29F1" w:rsidRDefault="002C29F1" w:rsidP="002C29F1">
      <w:pPr>
        <w:rPr>
          <w:sz w:val="22"/>
          <w:szCs w:val="22"/>
        </w:rPr>
      </w:pPr>
      <w:r>
        <w:rPr>
          <w:sz w:val="22"/>
          <w:szCs w:val="22"/>
        </w:rPr>
        <w:t>Главы администрации</w:t>
      </w:r>
    </w:p>
    <w:p w:rsidR="002C29F1" w:rsidRDefault="002C29F1" w:rsidP="002C29F1">
      <w:pPr>
        <w:rPr>
          <w:sz w:val="22"/>
          <w:szCs w:val="22"/>
        </w:rPr>
      </w:pPr>
      <w:r>
        <w:rPr>
          <w:sz w:val="22"/>
          <w:szCs w:val="22"/>
        </w:rPr>
        <w:t>Алымовского  муниципального  образования</w:t>
      </w:r>
    </w:p>
    <w:p w:rsidR="002C29F1" w:rsidRDefault="002C29F1" w:rsidP="002C29F1">
      <w:r>
        <w:rPr>
          <w:sz w:val="22"/>
          <w:szCs w:val="22"/>
        </w:rPr>
        <w:t>от 06.09.2013 г. №  62</w:t>
      </w:r>
    </w:p>
    <w:p w:rsidR="002C29F1" w:rsidRDefault="002C29F1" w:rsidP="002C29F1">
      <w:pPr>
        <w:jc w:val="right"/>
      </w:pPr>
    </w:p>
    <w:p w:rsidR="002C29F1" w:rsidRDefault="002C29F1" w:rsidP="002C29F1">
      <w:pPr>
        <w:ind w:firstLine="708"/>
        <w:jc w:val="center"/>
        <w:rPr>
          <w:b/>
          <w:sz w:val="28"/>
          <w:szCs w:val="28"/>
        </w:rPr>
      </w:pPr>
    </w:p>
    <w:p w:rsidR="002C29F1" w:rsidRDefault="002C29F1" w:rsidP="002C29F1">
      <w:pPr>
        <w:ind w:firstLine="708"/>
        <w:jc w:val="center"/>
      </w:pPr>
      <w:r>
        <w:rPr>
          <w:b/>
          <w:sz w:val="28"/>
          <w:szCs w:val="28"/>
        </w:rPr>
        <w:t>Показатели эффективности деятельности руководителя и работников МКУ КДЦ «Вдохновение», финансируемого из бюджета Алымовского  муниципального образования по основным категориям  работников</w:t>
      </w:r>
    </w:p>
    <w:p w:rsidR="002C29F1" w:rsidRDefault="002C29F1" w:rsidP="002C29F1">
      <w:pPr>
        <w:pStyle w:val="3"/>
        <w:jc w:val="center"/>
      </w:pPr>
      <w:r>
        <w:t>I. Показатели эффективности деятельности по видам учреждений культуры</w:t>
      </w:r>
    </w:p>
    <w:p w:rsidR="002C29F1" w:rsidRDefault="002C29F1" w:rsidP="002C29F1">
      <w:pPr>
        <w:pStyle w:val="3"/>
        <w:rPr>
          <w:b w:val="0"/>
          <w:bCs w:val="0"/>
          <w:sz w:val="24"/>
          <w:szCs w:val="24"/>
        </w:rPr>
      </w:pPr>
      <w:r>
        <w:t xml:space="preserve">1. </w:t>
      </w:r>
      <w:r>
        <w:rPr>
          <w:u w:val="single"/>
        </w:rPr>
        <w:t>Общедоступные (публичные) библиотеки: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2" w:name="310"/>
      <w:bookmarkEnd w:id="2"/>
      <w:r>
        <w:rPr>
          <w:sz w:val="24"/>
          <w:szCs w:val="24"/>
        </w:rPr>
        <w:t>1) количество зарегистрированных пользователей (единиц);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3" w:name="410"/>
      <w:bookmarkEnd w:id="3"/>
      <w:r>
        <w:rPr>
          <w:sz w:val="24"/>
          <w:szCs w:val="24"/>
        </w:rPr>
        <w:t>2) объем фонда библиотеки (тыс. экземпляров);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4" w:name="510"/>
      <w:bookmarkEnd w:id="4"/>
      <w:r>
        <w:rPr>
          <w:sz w:val="24"/>
          <w:szCs w:val="24"/>
        </w:rPr>
        <w:t>3) количество обращений в библиотеку в отчетный период (единиц);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5" w:name="710"/>
      <w:bookmarkEnd w:id="5"/>
      <w:r>
        <w:rPr>
          <w:sz w:val="24"/>
          <w:szCs w:val="24"/>
        </w:rPr>
        <w:t>4) количество новых поступлений в библиотечный фонд (всего), в том числе: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6" w:name="610"/>
      <w:bookmarkEnd w:id="6"/>
      <w:r>
        <w:rPr>
          <w:sz w:val="24"/>
          <w:szCs w:val="24"/>
        </w:rPr>
        <w:t>- количество новых поступлений на электронных носителях (экземпляров);</w:t>
      </w:r>
    </w:p>
    <w:p w:rsidR="002C29F1" w:rsidRDefault="002C29F1" w:rsidP="002C29F1">
      <w:pPr>
        <w:pStyle w:val="a4"/>
        <w:rPr>
          <w:sz w:val="24"/>
          <w:szCs w:val="24"/>
        </w:rPr>
      </w:pPr>
      <w:r>
        <w:rPr>
          <w:sz w:val="24"/>
          <w:szCs w:val="24"/>
        </w:rPr>
        <w:t>5) количество изданий в библиотеке в расчете на 1 жителя (единиц);</w:t>
      </w:r>
    </w:p>
    <w:p w:rsidR="002C29F1" w:rsidRDefault="002C29F1" w:rsidP="002C29F1">
      <w:pPr>
        <w:pStyle w:val="a4"/>
        <w:rPr>
          <w:sz w:val="24"/>
          <w:szCs w:val="24"/>
        </w:rPr>
      </w:pPr>
      <w:r>
        <w:rPr>
          <w:sz w:val="24"/>
          <w:szCs w:val="24"/>
        </w:rPr>
        <w:t>6) количество отреставрированных документов (экземпляров);</w:t>
      </w:r>
    </w:p>
    <w:p w:rsidR="002C29F1" w:rsidRDefault="002C29F1" w:rsidP="002C29F1">
      <w:pPr>
        <w:pStyle w:val="a4"/>
        <w:rPr>
          <w:sz w:val="24"/>
          <w:szCs w:val="24"/>
        </w:rPr>
      </w:pPr>
      <w:r>
        <w:rPr>
          <w:sz w:val="24"/>
          <w:szCs w:val="24"/>
        </w:rPr>
        <w:t>7) количество справок, консультаций для пользователей (всего), в том числе:</w:t>
      </w:r>
    </w:p>
    <w:p w:rsidR="002C29F1" w:rsidRDefault="002C29F1" w:rsidP="002C29F1">
      <w:pPr>
        <w:pStyle w:val="a4"/>
        <w:rPr>
          <w:sz w:val="24"/>
          <w:szCs w:val="24"/>
        </w:rPr>
      </w:pPr>
      <w:r>
        <w:rPr>
          <w:sz w:val="24"/>
          <w:szCs w:val="24"/>
        </w:rPr>
        <w:t>- количество справок, консультаций для пользователей в автоматизированном (виртуальном) режиме (единиц);</w:t>
      </w:r>
    </w:p>
    <w:p w:rsidR="002C29F1" w:rsidRDefault="002C29F1" w:rsidP="002C29F1">
      <w:pPr>
        <w:pStyle w:val="a4"/>
        <w:rPr>
          <w:sz w:val="24"/>
          <w:szCs w:val="24"/>
        </w:rPr>
      </w:pPr>
      <w:r>
        <w:rPr>
          <w:sz w:val="24"/>
          <w:szCs w:val="24"/>
        </w:rPr>
        <w:t>8) количество полнотекстовых оцифрованных документов, включённых в состав электронной библиотеки (единиц);</w:t>
      </w:r>
    </w:p>
    <w:p w:rsidR="002C29F1" w:rsidRDefault="002C29F1" w:rsidP="002C29F1">
      <w:pPr>
        <w:pStyle w:val="a4"/>
        <w:rPr>
          <w:sz w:val="24"/>
          <w:szCs w:val="24"/>
        </w:rPr>
      </w:pPr>
      <w:r>
        <w:rPr>
          <w:sz w:val="24"/>
          <w:szCs w:val="24"/>
        </w:rPr>
        <w:t>9) количество записей электронного каталога и других баз данных, создаваемых библиотекой (единиц);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7" w:name="141"/>
      <w:bookmarkEnd w:id="7"/>
      <w:r>
        <w:rPr>
          <w:sz w:val="24"/>
          <w:szCs w:val="24"/>
        </w:rPr>
        <w:t>10) количество записей, переданных библиотекой в Сводной электронный каталог библиотек России (экземпляров);</w:t>
      </w:r>
    </w:p>
    <w:p w:rsidR="002C29F1" w:rsidRDefault="002C29F1" w:rsidP="002C29F1">
      <w:pPr>
        <w:pStyle w:val="a4"/>
        <w:rPr>
          <w:sz w:val="24"/>
          <w:szCs w:val="24"/>
        </w:rPr>
      </w:pPr>
      <w:r>
        <w:rPr>
          <w:sz w:val="24"/>
          <w:szCs w:val="24"/>
        </w:rPr>
        <w:t>11) количество посещений Интернет-сайта библиотеки (количество обращений в стационарном и удаленном режиме пользователей к электронным информационным ресурсам библиотеки) (единиц).</w:t>
      </w:r>
    </w:p>
    <w:p w:rsidR="002C29F1" w:rsidRDefault="002C29F1" w:rsidP="002C29F1">
      <w:pPr>
        <w:pStyle w:val="3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>
        <w:rPr>
          <w:u w:val="single"/>
        </w:rPr>
        <w:t xml:space="preserve">Организации </w:t>
      </w:r>
      <w:proofErr w:type="spellStart"/>
      <w:r>
        <w:rPr>
          <w:u w:val="single"/>
        </w:rPr>
        <w:t>культурно-досугового</w:t>
      </w:r>
      <w:proofErr w:type="spellEnd"/>
      <w:r>
        <w:rPr>
          <w:u w:val="single"/>
        </w:rPr>
        <w:t xml:space="preserve"> типа: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8" w:name="471"/>
      <w:bookmarkEnd w:id="8"/>
      <w:r>
        <w:rPr>
          <w:sz w:val="24"/>
          <w:szCs w:val="24"/>
        </w:rPr>
        <w:t xml:space="preserve">1) количество участников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мероприятий по сравнению с предыдущим годом (процентов);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9" w:name="481"/>
      <w:bookmarkEnd w:id="9"/>
      <w:r>
        <w:rPr>
          <w:sz w:val="24"/>
          <w:szCs w:val="24"/>
        </w:rPr>
        <w:t>2) количество участников клубных формирований по сравнению с предыдущим годом (процентов);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10" w:name="501"/>
      <w:bookmarkEnd w:id="10"/>
      <w:r>
        <w:rPr>
          <w:sz w:val="24"/>
          <w:szCs w:val="24"/>
        </w:rPr>
        <w:t xml:space="preserve">3) число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мероприятий, проведенных КДЦ (единиц)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11" w:name="491"/>
      <w:bookmarkEnd w:id="11"/>
      <w:r>
        <w:rPr>
          <w:sz w:val="24"/>
          <w:szCs w:val="24"/>
        </w:rPr>
        <w:t>3.1. доля мероприятий, направленных на развитие творческого потенциала детей и молодежи в общем объеме мероприятий учреждения (процентов);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12" w:name="511"/>
      <w:bookmarkEnd w:id="12"/>
      <w:r>
        <w:rPr>
          <w:sz w:val="24"/>
          <w:szCs w:val="24"/>
        </w:rPr>
        <w:t xml:space="preserve">4) средняя посещаемость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мероприятий (процентов);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13" w:name="521"/>
      <w:bookmarkEnd w:id="13"/>
      <w:r>
        <w:rPr>
          <w:sz w:val="24"/>
          <w:szCs w:val="24"/>
        </w:rPr>
        <w:lastRenderedPageBreak/>
        <w:t xml:space="preserve">5) удельный вес населения, участвующего в платных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мероприятиях, проводимых учреждениями </w:t>
      </w:r>
      <w:proofErr w:type="spellStart"/>
      <w:r>
        <w:rPr>
          <w:sz w:val="24"/>
          <w:szCs w:val="24"/>
        </w:rPr>
        <w:t>культурно-досугового</w:t>
      </w:r>
      <w:proofErr w:type="spellEnd"/>
      <w:r>
        <w:rPr>
          <w:sz w:val="24"/>
          <w:szCs w:val="24"/>
        </w:rPr>
        <w:t xml:space="preserve"> типа, (процентов);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14" w:name="531"/>
      <w:bookmarkEnd w:id="14"/>
      <w:r>
        <w:rPr>
          <w:sz w:val="24"/>
          <w:szCs w:val="24"/>
        </w:rPr>
        <w:t>6) количество детей, привлекаемых к участию в творческих мероприятиях, в общем числе детей (процентов);</w:t>
      </w:r>
    </w:p>
    <w:p w:rsidR="002C29F1" w:rsidRDefault="002C29F1" w:rsidP="002C29F1">
      <w:pPr>
        <w:pStyle w:val="a4"/>
      </w:pPr>
      <w:r>
        <w:rPr>
          <w:sz w:val="24"/>
          <w:szCs w:val="24"/>
        </w:rPr>
        <w:t>7) число лауреатов международных, всероссийских, межрегиональных и областных конкурсов и фестивалей (человек).</w:t>
      </w:r>
    </w:p>
    <w:p w:rsidR="002C29F1" w:rsidRDefault="002C29F1" w:rsidP="002C29F1">
      <w:pPr>
        <w:pStyle w:val="3"/>
        <w:rPr>
          <w:sz w:val="24"/>
          <w:szCs w:val="24"/>
        </w:rPr>
      </w:pPr>
      <w:r>
        <w:t>II. Показатели эффективности деятельности, применимые ко всем видам муниципальных учреждений, их руководителям и основным категориям работников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15" w:name="1171"/>
      <w:bookmarkEnd w:id="15"/>
      <w:r>
        <w:rPr>
          <w:sz w:val="24"/>
          <w:szCs w:val="24"/>
        </w:rPr>
        <w:t>1) выполнение учреждением государственного задания на оказание услуг (выполнение работ) (да/нет);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16" w:name="1181"/>
      <w:bookmarkEnd w:id="16"/>
      <w:r>
        <w:rPr>
          <w:sz w:val="24"/>
          <w:szCs w:val="24"/>
        </w:rPr>
        <w:t>2) выполнение целевых показателей (индикаторов) эффективности работы учреждения (да/нет);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17" w:name="1191"/>
      <w:bookmarkEnd w:id="17"/>
      <w:r>
        <w:rPr>
          <w:sz w:val="24"/>
          <w:szCs w:val="24"/>
        </w:rPr>
        <w:t>3) достижение соотношения средней заработной платы работников учреждения и средней заработной платы по субъекту Российской Федерации (процентов);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18" w:name="1201"/>
      <w:bookmarkEnd w:id="18"/>
      <w:r>
        <w:rPr>
          <w:sz w:val="24"/>
          <w:szCs w:val="24"/>
        </w:rPr>
        <w:t>4) уровень удовлетворенности населения Алымовского  муниципального  образования качеством предоставления учреждением муниципальных услуг в сфере культуры (процентов);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19" w:name="1211"/>
      <w:bookmarkEnd w:id="19"/>
      <w:r>
        <w:rPr>
          <w:sz w:val="24"/>
          <w:szCs w:val="24"/>
        </w:rPr>
        <w:t>5) 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т.п. (% от общего числа проводимых мероприятий) по сравнению с предыдущим годом (процентов);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20" w:name="1221"/>
      <w:bookmarkEnd w:id="20"/>
      <w:r>
        <w:rPr>
          <w:sz w:val="24"/>
          <w:szCs w:val="24"/>
        </w:rPr>
        <w:t>6) количество изданных каталогов, научно-исследовательских трудов, альбомов, буклетов, путеводителей, краеведческой и иной литературы по профильной деятельности учреждения по сравнению с предыдущим годом (процентов);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21" w:name="1231"/>
      <w:bookmarkEnd w:id="21"/>
      <w:r>
        <w:rPr>
          <w:sz w:val="24"/>
          <w:szCs w:val="24"/>
        </w:rPr>
        <w:t>7) наличие собственного Интернет-сайта учреждения и обеспечение его поддержки в актуальном состоянии (да/нет);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22" w:name="1241"/>
      <w:bookmarkEnd w:id="22"/>
      <w:r>
        <w:rPr>
          <w:sz w:val="24"/>
          <w:szCs w:val="24"/>
        </w:rPr>
        <w:t>8) количество культурно-массовых мероприятий (фестивалей, выставок, смотров, конкурсов, научных конференций и др.), проведенных силами учреждения (единиц);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23" w:name="1251"/>
      <w:bookmarkEnd w:id="23"/>
      <w:r>
        <w:rPr>
          <w:sz w:val="24"/>
          <w:szCs w:val="24"/>
        </w:rPr>
        <w:t>9) количество посетителей культурно-массовых мероприятий (единиц);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24" w:name="1261"/>
      <w:bookmarkEnd w:id="24"/>
      <w:r>
        <w:rPr>
          <w:sz w:val="24"/>
          <w:szCs w:val="24"/>
        </w:rPr>
        <w:t xml:space="preserve">10) количество информационно-образовательных (просветительских) программ учреждения (в том числе лекционное, </w:t>
      </w:r>
      <w:proofErr w:type="spellStart"/>
      <w:r>
        <w:rPr>
          <w:sz w:val="24"/>
          <w:szCs w:val="24"/>
        </w:rPr>
        <w:t>справочноинформационное</w:t>
      </w:r>
      <w:proofErr w:type="spellEnd"/>
      <w:r>
        <w:rPr>
          <w:sz w:val="24"/>
          <w:szCs w:val="24"/>
        </w:rPr>
        <w:t xml:space="preserve"> и консультативное обслуживание граждан; без </w:t>
      </w:r>
      <w:proofErr w:type="spellStart"/>
      <w:r>
        <w:rPr>
          <w:sz w:val="24"/>
          <w:szCs w:val="24"/>
        </w:rPr>
        <w:t>экскурсоведения</w:t>
      </w:r>
      <w:proofErr w:type="spellEnd"/>
      <w:r>
        <w:rPr>
          <w:sz w:val="24"/>
          <w:szCs w:val="24"/>
        </w:rPr>
        <w:t>) (единиц);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25" w:name="1271"/>
      <w:bookmarkEnd w:id="25"/>
      <w:r>
        <w:rPr>
          <w:sz w:val="24"/>
          <w:szCs w:val="24"/>
        </w:rPr>
        <w:t>11) количество посетителей информационно-образовательных (просветительских) программ учреждения (единиц);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26" w:name="1281"/>
      <w:bookmarkEnd w:id="26"/>
      <w:r>
        <w:rPr>
          <w:sz w:val="24"/>
          <w:szCs w:val="24"/>
        </w:rPr>
        <w:t>12) объем средств от оказания платных услуг и иной приносящей доход деятельности (тыс. рублей);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27" w:name="1291"/>
      <w:bookmarkEnd w:id="27"/>
      <w:r>
        <w:rPr>
          <w:sz w:val="24"/>
          <w:szCs w:val="24"/>
        </w:rPr>
        <w:t>13) количество работников учреждения, прошедших повышение квалификации и (или) профессиональную подготовку (человек);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28" w:name="1301"/>
      <w:bookmarkEnd w:id="28"/>
      <w:r>
        <w:rPr>
          <w:sz w:val="24"/>
          <w:szCs w:val="24"/>
        </w:rPr>
        <w:t>14) участие учреждения в проектах, конкурсах, реализации федеральных целевых и ведомственных программ (да/нет);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29" w:name="1311"/>
      <w:bookmarkEnd w:id="29"/>
      <w:r>
        <w:rPr>
          <w:sz w:val="24"/>
          <w:szCs w:val="24"/>
        </w:rPr>
        <w:t>15) освоение и внедрение инновационных методов работы сотрудником (да/нет);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30" w:name="1321"/>
      <w:bookmarkEnd w:id="30"/>
      <w:r>
        <w:rPr>
          <w:sz w:val="24"/>
          <w:szCs w:val="24"/>
        </w:rPr>
        <w:t>16) проведение самостоятельной творческой работы в зависимости от специфики учреждения (программы, встречи, проекты и др.) (да/нет);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31" w:name="1331"/>
      <w:bookmarkEnd w:id="31"/>
      <w:r>
        <w:rPr>
          <w:sz w:val="24"/>
          <w:szCs w:val="24"/>
        </w:rPr>
        <w:lastRenderedPageBreak/>
        <w:t xml:space="preserve">17) работа с удаленными пользователями (дистанционное информационное обслуживание, </w:t>
      </w:r>
      <w:proofErr w:type="spellStart"/>
      <w:r>
        <w:rPr>
          <w:sz w:val="24"/>
          <w:szCs w:val="24"/>
        </w:rPr>
        <w:t>интернет-конференции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интернет-конкурсы</w:t>
      </w:r>
      <w:proofErr w:type="spellEnd"/>
      <w:r>
        <w:rPr>
          <w:sz w:val="24"/>
          <w:szCs w:val="24"/>
        </w:rPr>
        <w:t>, интерне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проекты и др.) (да/нет);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32" w:name="1341"/>
      <w:bookmarkEnd w:id="32"/>
      <w:r>
        <w:rPr>
          <w:sz w:val="24"/>
          <w:szCs w:val="24"/>
        </w:rPr>
        <w:t>18) количество посещений Интернет-сайта учреждения (количество обращений в стационарном и удаленном режиме пользователей к электронным информационным ресурсам) (единиц).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33" w:name="1351"/>
      <w:bookmarkEnd w:id="33"/>
      <w:r>
        <w:rPr>
          <w:sz w:val="24"/>
          <w:szCs w:val="24"/>
        </w:rPr>
        <w:t>19) результативность участия в конкурсах, получение грантов (да/нет);</w:t>
      </w:r>
    </w:p>
    <w:p w:rsidR="002C29F1" w:rsidRDefault="002C29F1" w:rsidP="002C29F1">
      <w:pPr>
        <w:pStyle w:val="a4"/>
        <w:rPr>
          <w:sz w:val="24"/>
          <w:szCs w:val="24"/>
        </w:rPr>
      </w:pPr>
      <w:bookmarkStart w:id="34" w:name="1361"/>
      <w:bookmarkEnd w:id="34"/>
      <w:r>
        <w:rPr>
          <w:sz w:val="24"/>
          <w:szCs w:val="24"/>
        </w:rPr>
        <w:t>20) публикации и освещение деятельности учреждения в средствах массовой информации (да/нет);</w:t>
      </w:r>
    </w:p>
    <w:p w:rsidR="002C29F1" w:rsidRDefault="002C29F1" w:rsidP="002C29F1">
      <w:pPr>
        <w:pStyle w:val="a4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21) участие в организации и проведении информационных, </w:t>
      </w:r>
      <w:proofErr w:type="spellStart"/>
      <w:r>
        <w:rPr>
          <w:sz w:val="24"/>
          <w:szCs w:val="24"/>
        </w:rPr>
        <w:t>культурнодосуговых</w:t>
      </w:r>
      <w:proofErr w:type="spellEnd"/>
      <w:r>
        <w:rPr>
          <w:sz w:val="24"/>
          <w:szCs w:val="24"/>
        </w:rPr>
        <w:t>, социально-значимых и просветительских мероприятиях (фестивалей, концертов, конкурсов, творческих встречах, проектов, научных конференций и др.), в том числе рассчитанных на обслуживание особых категорий пользователей (да/нет).</w:t>
      </w:r>
    </w:p>
    <w:p w:rsidR="002C29F1" w:rsidRDefault="002C29F1" w:rsidP="002C29F1">
      <w:pPr>
        <w:pStyle w:val="3"/>
        <w:ind w:left="0" w:firstLine="709"/>
        <w:jc w:val="center"/>
        <w:rPr>
          <w:color w:val="000000"/>
          <w:sz w:val="28"/>
          <w:szCs w:val="28"/>
        </w:rPr>
      </w:pPr>
    </w:p>
    <w:p w:rsidR="00F75CD8" w:rsidRDefault="00F75CD8"/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Arial" w:hAnsi="Arial" w:cs="Arial"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29F1"/>
    <w:rsid w:val="002C29F1"/>
    <w:rsid w:val="00C302CC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2C29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9F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Strong"/>
    <w:basedOn w:val="a0"/>
    <w:qFormat/>
    <w:rsid w:val="002C29F1"/>
    <w:rPr>
      <w:b/>
      <w:bCs/>
    </w:rPr>
  </w:style>
  <w:style w:type="paragraph" w:styleId="a4">
    <w:name w:val="Body Text"/>
    <w:basedOn w:val="a"/>
    <w:link w:val="a5"/>
    <w:rsid w:val="002C29F1"/>
    <w:pPr>
      <w:spacing w:after="120"/>
    </w:pPr>
  </w:style>
  <w:style w:type="character" w:customStyle="1" w:styleId="a5">
    <w:name w:val="Основной текст Знак"/>
    <w:basedOn w:val="a0"/>
    <w:link w:val="a4"/>
    <w:rsid w:val="002C29F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2020-11-11T02:01:00Z</dcterms:created>
  <dcterms:modified xsi:type="dcterms:W3CDTF">2020-11-11T02:02:00Z</dcterms:modified>
</cp:coreProperties>
</file>